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shd w:val="clear" w:color="auto" w:fill="FFFFFF"/>
        <w:tblCellMar>
          <w:left w:w="0" w:type="dxa"/>
          <w:right w:w="0" w:type="dxa"/>
        </w:tblCellMar>
        <w:tblLook w:val="04A0" w:firstRow="1" w:lastRow="0" w:firstColumn="1" w:lastColumn="0" w:noHBand="0" w:noVBand="1"/>
      </w:tblPr>
      <w:tblGrid>
        <w:gridCol w:w="2396"/>
        <w:gridCol w:w="3944"/>
      </w:tblGrid>
      <w:tr w:rsidR="00C20682" w:rsidRPr="00C20682" w:rsidTr="00C20682">
        <w:trPr>
          <w:jc w:val="center"/>
        </w:trPr>
        <w:tc>
          <w:tcPr>
            <w:tcW w:w="2396" w:type="dxa"/>
            <w:shd w:val="clear" w:color="auto" w:fill="FFFFFF"/>
            <w:vAlign w:val="center"/>
            <w:hideMark/>
          </w:tcPr>
          <w:p w:rsidR="00C20682" w:rsidRPr="00C20682" w:rsidRDefault="00C20682" w:rsidP="00C20682">
            <w:pPr>
              <w:spacing w:after="107" w:line="215" w:lineRule="atLeast"/>
              <w:jc w:val="center"/>
              <w:rPr>
                <w:rFonts w:ascii="Arial" w:eastAsia="Times New Roman" w:hAnsi="Arial" w:cs="Arial"/>
                <w:color w:val="333333"/>
                <w:sz w:val="15"/>
                <w:szCs w:val="15"/>
                <w:lang w:eastAsia="vi-VN"/>
              </w:rPr>
            </w:pPr>
            <w:bookmarkStart w:id="0" w:name="_GoBack"/>
            <w:bookmarkEnd w:id="0"/>
            <w:r w:rsidRPr="00C20682">
              <w:rPr>
                <w:rFonts w:ascii="Arial" w:eastAsia="Times New Roman" w:hAnsi="Arial" w:cs="Arial"/>
                <w:b/>
                <w:bCs/>
                <w:color w:val="333333"/>
                <w:sz w:val="15"/>
                <w:lang w:eastAsia="vi-VN"/>
              </w:rPr>
              <w:t>MINISTRY OF FINANCE</w:t>
            </w:r>
            <w:r w:rsidRPr="00C20682">
              <w:rPr>
                <w:rFonts w:ascii="Arial" w:eastAsia="Times New Roman" w:hAnsi="Arial" w:cs="Arial"/>
                <w:b/>
                <w:bCs/>
                <w:color w:val="333333"/>
                <w:sz w:val="15"/>
                <w:szCs w:val="15"/>
                <w:lang w:eastAsia="vi-VN"/>
              </w:rPr>
              <w:br/>
            </w:r>
            <w:r w:rsidRPr="00C20682">
              <w:rPr>
                <w:rFonts w:ascii="Arial" w:eastAsia="Times New Roman" w:hAnsi="Arial" w:cs="Arial"/>
                <w:b/>
                <w:bCs/>
                <w:color w:val="333333"/>
                <w:sz w:val="15"/>
                <w:lang w:eastAsia="vi-VN"/>
              </w:rPr>
              <w:t>-------</w:t>
            </w:r>
          </w:p>
        </w:tc>
        <w:tc>
          <w:tcPr>
            <w:tcW w:w="3944" w:type="dxa"/>
            <w:shd w:val="clear" w:color="auto" w:fill="FFFFFF"/>
            <w:vAlign w:val="center"/>
            <w:hideMark/>
          </w:tcPr>
          <w:p w:rsidR="00C20682" w:rsidRPr="00C20682" w:rsidRDefault="00C20682" w:rsidP="00C20682">
            <w:pPr>
              <w:spacing w:after="107" w:line="215" w:lineRule="atLeast"/>
              <w:jc w:val="center"/>
              <w:rPr>
                <w:rFonts w:ascii="Arial" w:eastAsia="Times New Roman" w:hAnsi="Arial" w:cs="Arial"/>
                <w:color w:val="333333"/>
                <w:sz w:val="15"/>
                <w:szCs w:val="15"/>
                <w:lang w:eastAsia="vi-VN"/>
              </w:rPr>
            </w:pPr>
            <w:r w:rsidRPr="00C20682">
              <w:rPr>
                <w:rFonts w:ascii="Arial" w:eastAsia="Times New Roman" w:hAnsi="Arial" w:cs="Arial"/>
                <w:b/>
                <w:bCs/>
                <w:color w:val="333333"/>
                <w:sz w:val="15"/>
                <w:lang w:eastAsia="vi-VN"/>
              </w:rPr>
              <w:t>SOCIALIST REPUBLIC OF VIETNAM</w:t>
            </w:r>
            <w:r w:rsidRPr="00C20682">
              <w:rPr>
                <w:rFonts w:ascii="Arial" w:eastAsia="Times New Roman" w:hAnsi="Arial" w:cs="Arial"/>
                <w:color w:val="333333"/>
                <w:sz w:val="15"/>
                <w:szCs w:val="15"/>
                <w:lang w:eastAsia="vi-VN"/>
              </w:rPr>
              <w:t> </w:t>
            </w:r>
            <w:r w:rsidRPr="00C20682">
              <w:rPr>
                <w:rFonts w:ascii="Arial" w:eastAsia="Times New Roman" w:hAnsi="Arial" w:cs="Arial"/>
                <w:color w:val="333333"/>
                <w:sz w:val="15"/>
                <w:szCs w:val="15"/>
                <w:lang w:eastAsia="vi-VN"/>
              </w:rPr>
              <w:br/>
            </w:r>
            <w:r w:rsidRPr="00C20682">
              <w:rPr>
                <w:rFonts w:ascii="Arial" w:eastAsia="Times New Roman" w:hAnsi="Arial" w:cs="Arial"/>
                <w:b/>
                <w:bCs/>
                <w:color w:val="333333"/>
                <w:sz w:val="15"/>
                <w:lang w:eastAsia="vi-VN"/>
              </w:rPr>
              <w:t>Independence - Freedom - Happiness</w:t>
            </w:r>
            <w:r w:rsidRPr="00C20682">
              <w:rPr>
                <w:rFonts w:ascii="Arial" w:eastAsia="Times New Roman" w:hAnsi="Arial" w:cs="Arial"/>
                <w:b/>
                <w:bCs/>
                <w:color w:val="333333"/>
                <w:sz w:val="15"/>
                <w:szCs w:val="15"/>
                <w:lang w:eastAsia="vi-VN"/>
              </w:rPr>
              <w:br/>
            </w:r>
            <w:r w:rsidRPr="00C20682">
              <w:rPr>
                <w:rFonts w:ascii="Arial" w:eastAsia="Times New Roman" w:hAnsi="Arial" w:cs="Arial"/>
                <w:b/>
                <w:bCs/>
                <w:color w:val="333333"/>
                <w:sz w:val="15"/>
                <w:lang w:eastAsia="vi-VN"/>
              </w:rPr>
              <w:t>---------------</w:t>
            </w:r>
          </w:p>
        </w:tc>
      </w:tr>
      <w:tr w:rsidR="00C20682" w:rsidRPr="00C20682" w:rsidTr="00C20682">
        <w:trPr>
          <w:jc w:val="center"/>
        </w:trPr>
        <w:tc>
          <w:tcPr>
            <w:tcW w:w="2396" w:type="dxa"/>
            <w:shd w:val="clear" w:color="auto" w:fill="FFFFFF"/>
            <w:vAlign w:val="center"/>
            <w:hideMark/>
          </w:tcPr>
          <w:p w:rsidR="00C20682" w:rsidRPr="00C20682" w:rsidRDefault="00C20682" w:rsidP="00C20682">
            <w:pPr>
              <w:spacing w:after="107" w:line="215" w:lineRule="atLeast"/>
              <w:jc w:val="center"/>
              <w:rPr>
                <w:rFonts w:ascii="Arial" w:eastAsia="Times New Roman" w:hAnsi="Arial" w:cs="Arial"/>
                <w:color w:val="333333"/>
                <w:sz w:val="15"/>
                <w:szCs w:val="15"/>
                <w:lang w:eastAsia="vi-VN"/>
              </w:rPr>
            </w:pPr>
            <w:r w:rsidRPr="00C20682">
              <w:rPr>
                <w:rFonts w:ascii="Arial" w:eastAsia="Times New Roman" w:hAnsi="Arial" w:cs="Arial"/>
                <w:color w:val="333333"/>
                <w:sz w:val="15"/>
                <w:szCs w:val="15"/>
                <w:lang w:eastAsia="vi-VN"/>
              </w:rPr>
              <w:t>No. 75/2015/TT-BTC</w:t>
            </w:r>
          </w:p>
        </w:tc>
        <w:tc>
          <w:tcPr>
            <w:tcW w:w="3944" w:type="dxa"/>
            <w:shd w:val="clear" w:color="auto" w:fill="FFFFFF"/>
            <w:vAlign w:val="center"/>
            <w:hideMark/>
          </w:tcPr>
          <w:p w:rsidR="00C20682" w:rsidRPr="00C20682" w:rsidRDefault="00C20682" w:rsidP="00C20682">
            <w:pPr>
              <w:spacing w:after="107" w:line="215" w:lineRule="atLeast"/>
              <w:jc w:val="right"/>
              <w:rPr>
                <w:rFonts w:ascii="Arial" w:eastAsia="Times New Roman" w:hAnsi="Arial" w:cs="Arial"/>
                <w:color w:val="333333"/>
                <w:sz w:val="15"/>
                <w:szCs w:val="15"/>
                <w:lang w:eastAsia="vi-VN"/>
              </w:rPr>
            </w:pPr>
            <w:r w:rsidRPr="00C20682">
              <w:rPr>
                <w:rFonts w:ascii="Arial" w:eastAsia="Times New Roman" w:hAnsi="Arial" w:cs="Arial"/>
                <w:i/>
                <w:iCs/>
                <w:color w:val="333333"/>
                <w:sz w:val="15"/>
                <w:lang w:eastAsia="vi-VN"/>
              </w:rPr>
              <w:t>Hanoi, May 18, 2015</w:t>
            </w:r>
          </w:p>
        </w:tc>
      </w:tr>
    </w:tbl>
    <w:p w:rsidR="00C20682" w:rsidRPr="00C20682" w:rsidRDefault="00C20682" w:rsidP="00C20682">
      <w:pPr>
        <w:shd w:val="clear" w:color="auto" w:fill="FFFFFF"/>
        <w:spacing w:after="107" w:line="215" w:lineRule="atLeast"/>
        <w:rPr>
          <w:rFonts w:ascii="Arial" w:eastAsia="Times New Roman" w:hAnsi="Arial" w:cs="Arial"/>
          <w:color w:val="333333"/>
          <w:sz w:val="15"/>
          <w:szCs w:val="15"/>
          <w:lang w:eastAsia="vi-VN"/>
        </w:rPr>
      </w:pPr>
      <w:r w:rsidRPr="00C20682">
        <w:rPr>
          <w:rFonts w:ascii="Arial" w:eastAsia="Times New Roman" w:hAnsi="Arial" w:cs="Arial"/>
          <w:color w:val="333333"/>
          <w:sz w:val="15"/>
          <w:szCs w:val="15"/>
          <w:lang w:eastAsia="vi-VN"/>
        </w:rPr>
        <w:t> </w:t>
      </w:r>
    </w:p>
    <w:p w:rsidR="00C20682" w:rsidRPr="00C20682" w:rsidRDefault="00C20682" w:rsidP="00C20682">
      <w:pPr>
        <w:shd w:val="clear" w:color="auto" w:fill="FFFFFF"/>
        <w:spacing w:after="107" w:line="215" w:lineRule="atLeast"/>
        <w:jc w:val="center"/>
        <w:rPr>
          <w:rFonts w:ascii="Arial" w:eastAsia="Times New Roman" w:hAnsi="Arial" w:cs="Arial"/>
          <w:color w:val="333333"/>
          <w:sz w:val="15"/>
          <w:szCs w:val="15"/>
          <w:lang w:eastAsia="vi-VN"/>
        </w:rPr>
      </w:pPr>
      <w:r w:rsidRPr="00C20682">
        <w:rPr>
          <w:rFonts w:ascii="Arial" w:eastAsia="Times New Roman" w:hAnsi="Arial" w:cs="Arial"/>
          <w:b/>
          <w:bCs/>
          <w:color w:val="333333"/>
          <w:sz w:val="15"/>
          <w:lang w:eastAsia="vi-VN"/>
        </w:rPr>
        <w:t>CIRCULAR</w:t>
      </w:r>
    </w:p>
    <w:p w:rsidR="00C20682" w:rsidRPr="00C20682" w:rsidRDefault="00C20682" w:rsidP="00C20682">
      <w:pPr>
        <w:shd w:val="clear" w:color="auto" w:fill="FFFFFF"/>
        <w:spacing w:after="107" w:line="215" w:lineRule="atLeast"/>
        <w:jc w:val="center"/>
        <w:rPr>
          <w:rFonts w:ascii="Arial" w:eastAsia="Times New Roman" w:hAnsi="Arial" w:cs="Arial"/>
          <w:color w:val="333333"/>
          <w:sz w:val="15"/>
          <w:szCs w:val="15"/>
          <w:lang w:eastAsia="vi-VN"/>
        </w:rPr>
      </w:pPr>
      <w:r w:rsidRPr="00C20682">
        <w:rPr>
          <w:rFonts w:ascii="Arial" w:eastAsia="Times New Roman" w:hAnsi="Arial" w:cs="Arial"/>
          <w:color w:val="333333"/>
          <w:sz w:val="15"/>
          <w:szCs w:val="15"/>
          <w:lang w:eastAsia="vi-VN"/>
        </w:rPr>
        <w:t>ON AMENDMENTS TO ARTICLE 128 OF CIRCULAR NO. </w:t>
      </w:r>
      <w:hyperlink r:id="rId4" w:tgtFrame="_blank" w:history="1">
        <w:r w:rsidRPr="00C20682">
          <w:rPr>
            <w:rFonts w:ascii="Arial" w:eastAsia="Times New Roman" w:hAnsi="Arial" w:cs="Arial"/>
            <w:color w:val="660099"/>
            <w:sz w:val="15"/>
            <w:lang w:eastAsia="vi-VN"/>
          </w:rPr>
          <w:t>200/2014/TT-BTC</w:t>
        </w:r>
      </w:hyperlink>
      <w:r w:rsidRPr="00C20682">
        <w:rPr>
          <w:rFonts w:ascii="Arial" w:eastAsia="Times New Roman" w:hAnsi="Arial" w:cs="Arial"/>
          <w:color w:val="333333"/>
          <w:sz w:val="15"/>
          <w:szCs w:val="15"/>
          <w:lang w:eastAsia="vi-VN"/>
        </w:rPr>
        <w:t> DATED DECEMBER 22, 2014 ON GUIDELINES FOR ACCOUNTING POLICIES FOR ENTERPRISES</w:t>
      </w:r>
    </w:p>
    <w:p w:rsidR="00C20682" w:rsidRPr="00C20682" w:rsidRDefault="00C20682" w:rsidP="00C20682">
      <w:pPr>
        <w:shd w:val="clear" w:color="auto" w:fill="FFFFFF"/>
        <w:spacing w:after="107" w:line="215" w:lineRule="atLeast"/>
        <w:rPr>
          <w:rFonts w:ascii="Arial" w:eastAsia="Times New Roman" w:hAnsi="Arial" w:cs="Arial"/>
          <w:color w:val="333333"/>
          <w:sz w:val="15"/>
          <w:szCs w:val="15"/>
          <w:lang w:eastAsia="vi-VN"/>
        </w:rPr>
      </w:pPr>
      <w:r w:rsidRPr="00C20682">
        <w:rPr>
          <w:rFonts w:ascii="Arial" w:eastAsia="Times New Roman" w:hAnsi="Arial" w:cs="Arial"/>
          <w:i/>
          <w:iCs/>
          <w:color w:val="333333"/>
          <w:sz w:val="15"/>
          <w:lang w:eastAsia="vi-VN"/>
        </w:rPr>
        <w:t>Pursuant to the Law on Accounting dated June 17, 2003;</w:t>
      </w:r>
    </w:p>
    <w:p w:rsidR="00C20682" w:rsidRPr="00C20682" w:rsidRDefault="00C20682" w:rsidP="00C20682">
      <w:pPr>
        <w:shd w:val="clear" w:color="auto" w:fill="FFFFFF"/>
        <w:spacing w:after="107" w:line="215" w:lineRule="atLeast"/>
        <w:rPr>
          <w:rFonts w:ascii="Arial" w:eastAsia="Times New Roman" w:hAnsi="Arial" w:cs="Arial"/>
          <w:color w:val="333333"/>
          <w:sz w:val="15"/>
          <w:szCs w:val="15"/>
          <w:lang w:eastAsia="vi-VN"/>
        </w:rPr>
      </w:pPr>
      <w:r w:rsidRPr="00C20682">
        <w:rPr>
          <w:rFonts w:ascii="Arial" w:eastAsia="Times New Roman" w:hAnsi="Arial" w:cs="Arial"/>
          <w:i/>
          <w:iCs/>
          <w:color w:val="333333"/>
          <w:sz w:val="15"/>
          <w:lang w:eastAsia="vi-VN"/>
        </w:rPr>
        <w:t>Pursuant to the Decree No.</w:t>
      </w:r>
      <w:r w:rsidRPr="00C20682">
        <w:rPr>
          <w:rFonts w:ascii="Arial" w:eastAsia="Times New Roman" w:hAnsi="Arial" w:cs="Arial"/>
          <w:color w:val="333333"/>
          <w:sz w:val="15"/>
          <w:szCs w:val="15"/>
          <w:lang w:eastAsia="vi-VN"/>
        </w:rPr>
        <w:t> </w:t>
      </w:r>
      <w:hyperlink r:id="rId5" w:tgtFrame="_blank" w:history="1">
        <w:r w:rsidRPr="00C20682">
          <w:rPr>
            <w:rFonts w:ascii="Arial" w:eastAsia="Times New Roman" w:hAnsi="Arial" w:cs="Arial"/>
            <w:i/>
            <w:iCs/>
            <w:color w:val="660099"/>
            <w:sz w:val="15"/>
            <w:lang w:eastAsia="vi-VN"/>
          </w:rPr>
          <w:t>129/2004/NĐ-CP</w:t>
        </w:r>
      </w:hyperlink>
      <w:r w:rsidRPr="00C20682">
        <w:rPr>
          <w:rFonts w:ascii="Arial" w:eastAsia="Times New Roman" w:hAnsi="Arial" w:cs="Arial"/>
          <w:color w:val="333333"/>
          <w:sz w:val="15"/>
          <w:szCs w:val="15"/>
          <w:lang w:eastAsia="vi-VN"/>
        </w:rPr>
        <w:t> </w:t>
      </w:r>
      <w:r w:rsidRPr="00C20682">
        <w:rPr>
          <w:rFonts w:ascii="Arial" w:eastAsia="Times New Roman" w:hAnsi="Arial" w:cs="Arial"/>
          <w:i/>
          <w:iCs/>
          <w:color w:val="333333"/>
          <w:sz w:val="15"/>
          <w:lang w:eastAsia="vi-VN"/>
        </w:rPr>
        <w:t>dated May 31, 2004 of the Government on guidelines for the Law on Accounting in the business operation;</w:t>
      </w:r>
    </w:p>
    <w:p w:rsidR="00C20682" w:rsidRPr="00C20682" w:rsidRDefault="00C20682" w:rsidP="00C20682">
      <w:pPr>
        <w:shd w:val="clear" w:color="auto" w:fill="FFFFFF"/>
        <w:spacing w:after="107" w:line="215" w:lineRule="atLeast"/>
        <w:rPr>
          <w:rFonts w:ascii="Arial" w:eastAsia="Times New Roman" w:hAnsi="Arial" w:cs="Arial"/>
          <w:color w:val="333333"/>
          <w:sz w:val="15"/>
          <w:szCs w:val="15"/>
          <w:lang w:eastAsia="vi-VN"/>
        </w:rPr>
      </w:pPr>
      <w:r w:rsidRPr="00C20682">
        <w:rPr>
          <w:rFonts w:ascii="Arial" w:eastAsia="Times New Roman" w:hAnsi="Arial" w:cs="Arial"/>
          <w:i/>
          <w:iCs/>
          <w:color w:val="333333"/>
          <w:sz w:val="15"/>
          <w:lang w:eastAsia="vi-VN"/>
        </w:rPr>
        <w:t>Pursuant to the Government's Decree No.</w:t>
      </w:r>
      <w:r w:rsidRPr="00C20682">
        <w:rPr>
          <w:rFonts w:ascii="Arial" w:eastAsia="Times New Roman" w:hAnsi="Arial" w:cs="Arial"/>
          <w:color w:val="333333"/>
          <w:sz w:val="15"/>
          <w:szCs w:val="15"/>
          <w:lang w:eastAsia="vi-VN"/>
        </w:rPr>
        <w:t> </w:t>
      </w:r>
      <w:hyperlink r:id="rId6" w:tgtFrame="_blank" w:history="1">
        <w:r w:rsidRPr="00C20682">
          <w:rPr>
            <w:rFonts w:ascii="Arial" w:eastAsia="Times New Roman" w:hAnsi="Arial" w:cs="Arial"/>
            <w:i/>
            <w:iCs/>
            <w:color w:val="660099"/>
            <w:sz w:val="15"/>
            <w:lang w:eastAsia="vi-VN"/>
          </w:rPr>
          <w:t>215/2013/NĐ-CP</w:t>
        </w:r>
      </w:hyperlink>
      <w:r w:rsidRPr="00C20682">
        <w:rPr>
          <w:rFonts w:ascii="Arial" w:eastAsia="Times New Roman" w:hAnsi="Arial" w:cs="Arial"/>
          <w:color w:val="333333"/>
          <w:sz w:val="15"/>
          <w:szCs w:val="15"/>
          <w:lang w:eastAsia="vi-VN"/>
        </w:rPr>
        <w:t> </w:t>
      </w:r>
      <w:r w:rsidRPr="00C20682">
        <w:rPr>
          <w:rFonts w:ascii="Arial" w:eastAsia="Times New Roman" w:hAnsi="Arial" w:cs="Arial"/>
          <w:i/>
          <w:iCs/>
          <w:color w:val="333333"/>
          <w:sz w:val="15"/>
          <w:lang w:eastAsia="vi-VN"/>
        </w:rPr>
        <w:t>dated December 13, 2013 defining the functions, tasks, entitlements and organizational structure of the Ministry of Finance;</w:t>
      </w:r>
    </w:p>
    <w:p w:rsidR="00C20682" w:rsidRPr="00C20682" w:rsidRDefault="00C20682" w:rsidP="00C20682">
      <w:pPr>
        <w:shd w:val="clear" w:color="auto" w:fill="FFFFFF"/>
        <w:spacing w:after="107" w:line="215" w:lineRule="atLeast"/>
        <w:rPr>
          <w:rFonts w:ascii="Arial" w:eastAsia="Times New Roman" w:hAnsi="Arial" w:cs="Arial"/>
          <w:color w:val="333333"/>
          <w:sz w:val="15"/>
          <w:szCs w:val="15"/>
          <w:lang w:eastAsia="vi-VN"/>
        </w:rPr>
      </w:pPr>
      <w:r w:rsidRPr="00C20682">
        <w:rPr>
          <w:rFonts w:ascii="Arial" w:eastAsia="Times New Roman" w:hAnsi="Arial" w:cs="Arial"/>
          <w:i/>
          <w:iCs/>
          <w:color w:val="333333"/>
          <w:sz w:val="15"/>
          <w:lang w:eastAsia="vi-VN"/>
        </w:rPr>
        <w:t>At the request of Director of the Department of Audit and Accounting Regulation,</w:t>
      </w:r>
    </w:p>
    <w:p w:rsidR="00C20682" w:rsidRPr="00C20682" w:rsidRDefault="00C20682" w:rsidP="00C20682">
      <w:pPr>
        <w:shd w:val="clear" w:color="auto" w:fill="FFFFFF"/>
        <w:spacing w:after="107" w:line="215" w:lineRule="atLeast"/>
        <w:rPr>
          <w:rFonts w:ascii="Arial" w:eastAsia="Times New Roman" w:hAnsi="Arial" w:cs="Arial"/>
          <w:color w:val="333333"/>
          <w:sz w:val="15"/>
          <w:szCs w:val="15"/>
          <w:lang w:eastAsia="vi-VN"/>
        </w:rPr>
      </w:pPr>
      <w:r w:rsidRPr="00C20682">
        <w:rPr>
          <w:rFonts w:ascii="Arial" w:eastAsia="Times New Roman" w:hAnsi="Arial" w:cs="Arial"/>
          <w:i/>
          <w:iCs/>
          <w:color w:val="333333"/>
          <w:sz w:val="15"/>
          <w:lang w:eastAsia="vi-VN"/>
        </w:rPr>
        <w:t>The Minister of Finance issues a Circular on amendments to Article 128 of Circular No.</w:t>
      </w:r>
      <w:r w:rsidRPr="00C20682">
        <w:rPr>
          <w:rFonts w:ascii="Arial" w:eastAsia="Times New Roman" w:hAnsi="Arial" w:cs="Arial"/>
          <w:color w:val="333333"/>
          <w:sz w:val="15"/>
          <w:szCs w:val="15"/>
          <w:lang w:eastAsia="vi-VN"/>
        </w:rPr>
        <w:t> </w:t>
      </w:r>
      <w:hyperlink r:id="rId7" w:tgtFrame="_blank" w:history="1">
        <w:r w:rsidRPr="00C20682">
          <w:rPr>
            <w:rFonts w:ascii="Arial" w:eastAsia="Times New Roman" w:hAnsi="Arial" w:cs="Arial"/>
            <w:i/>
            <w:iCs/>
            <w:color w:val="660099"/>
            <w:sz w:val="15"/>
            <w:lang w:eastAsia="vi-VN"/>
          </w:rPr>
          <w:t>200/2014/TT-BTC</w:t>
        </w:r>
      </w:hyperlink>
      <w:r w:rsidRPr="00C20682">
        <w:rPr>
          <w:rFonts w:ascii="Arial" w:eastAsia="Times New Roman" w:hAnsi="Arial" w:cs="Arial"/>
          <w:color w:val="333333"/>
          <w:sz w:val="15"/>
          <w:szCs w:val="15"/>
          <w:lang w:eastAsia="vi-VN"/>
        </w:rPr>
        <w:t> </w:t>
      </w:r>
      <w:r w:rsidRPr="00C20682">
        <w:rPr>
          <w:rFonts w:ascii="Arial" w:eastAsia="Times New Roman" w:hAnsi="Arial" w:cs="Arial"/>
          <w:i/>
          <w:iCs/>
          <w:color w:val="333333"/>
          <w:sz w:val="15"/>
          <w:lang w:eastAsia="vi-VN"/>
        </w:rPr>
        <w:t>dated December 22, 2014 on guidelines for accounting policies for enterprises.</w:t>
      </w:r>
    </w:p>
    <w:p w:rsidR="00C20682" w:rsidRPr="00C20682" w:rsidRDefault="00C20682" w:rsidP="00C20682">
      <w:pPr>
        <w:shd w:val="clear" w:color="auto" w:fill="FFFFFF"/>
        <w:spacing w:after="107" w:line="215" w:lineRule="atLeast"/>
        <w:rPr>
          <w:rFonts w:ascii="Arial" w:eastAsia="Times New Roman" w:hAnsi="Arial" w:cs="Arial"/>
          <w:color w:val="333333"/>
          <w:sz w:val="15"/>
          <w:szCs w:val="15"/>
          <w:lang w:eastAsia="vi-VN"/>
        </w:rPr>
      </w:pPr>
      <w:r w:rsidRPr="00C20682">
        <w:rPr>
          <w:rFonts w:ascii="Arial" w:eastAsia="Times New Roman" w:hAnsi="Arial" w:cs="Arial"/>
          <w:color w:val="333333"/>
          <w:sz w:val="15"/>
          <w:szCs w:val="15"/>
          <w:lang w:eastAsia="vi-VN"/>
        </w:rPr>
        <w:t>Article 1. Article 128 of Circular No. </w:t>
      </w:r>
      <w:hyperlink r:id="rId8" w:tgtFrame="_blank" w:history="1">
        <w:r w:rsidRPr="00C20682">
          <w:rPr>
            <w:rFonts w:ascii="Arial" w:eastAsia="Times New Roman" w:hAnsi="Arial" w:cs="Arial"/>
            <w:color w:val="660099"/>
            <w:sz w:val="15"/>
            <w:lang w:eastAsia="vi-VN"/>
          </w:rPr>
          <w:t>200/2014/TT-BTC</w:t>
        </w:r>
      </w:hyperlink>
      <w:r w:rsidRPr="00C20682">
        <w:rPr>
          <w:rFonts w:ascii="Arial" w:eastAsia="Times New Roman" w:hAnsi="Arial" w:cs="Arial"/>
          <w:color w:val="333333"/>
          <w:sz w:val="15"/>
          <w:szCs w:val="15"/>
          <w:lang w:eastAsia="vi-VN"/>
        </w:rPr>
        <w:t> dated December 22, 2014 on guidelines for accounting policies for enterprises shall be amended as follows:</w:t>
      </w:r>
    </w:p>
    <w:p w:rsidR="00C20682" w:rsidRPr="00C20682" w:rsidRDefault="00C20682" w:rsidP="00C20682">
      <w:pPr>
        <w:shd w:val="clear" w:color="auto" w:fill="FFFFFF"/>
        <w:spacing w:after="107" w:line="215" w:lineRule="atLeast"/>
        <w:rPr>
          <w:rFonts w:ascii="Arial" w:eastAsia="Times New Roman" w:hAnsi="Arial" w:cs="Arial"/>
          <w:color w:val="333333"/>
          <w:sz w:val="15"/>
          <w:szCs w:val="15"/>
          <w:lang w:eastAsia="vi-VN"/>
        </w:rPr>
      </w:pPr>
      <w:r w:rsidRPr="00C20682">
        <w:rPr>
          <w:rFonts w:ascii="Arial" w:eastAsia="Times New Roman" w:hAnsi="Arial" w:cs="Arial"/>
          <w:color w:val="333333"/>
          <w:sz w:val="15"/>
          <w:szCs w:val="15"/>
          <w:lang w:eastAsia="vi-VN"/>
        </w:rPr>
        <w:t>“Article 128 of this Circular shall apply to the financial year beginning on or after January 1, 2015.</w:t>
      </w:r>
    </w:p>
    <w:p w:rsidR="00C20682" w:rsidRPr="00C20682" w:rsidRDefault="00C20682" w:rsidP="00C20682">
      <w:pPr>
        <w:shd w:val="clear" w:color="auto" w:fill="FFFFFF"/>
        <w:spacing w:after="107" w:line="215" w:lineRule="atLeast"/>
        <w:rPr>
          <w:rFonts w:ascii="Arial" w:eastAsia="Times New Roman" w:hAnsi="Arial" w:cs="Arial"/>
          <w:color w:val="333333"/>
          <w:sz w:val="15"/>
          <w:szCs w:val="15"/>
          <w:lang w:eastAsia="vi-VN"/>
        </w:rPr>
      </w:pPr>
      <w:r w:rsidRPr="00C20682">
        <w:rPr>
          <w:rFonts w:ascii="Arial" w:eastAsia="Times New Roman" w:hAnsi="Arial" w:cs="Arial"/>
          <w:color w:val="333333"/>
          <w:sz w:val="15"/>
          <w:szCs w:val="15"/>
          <w:lang w:eastAsia="vi-VN"/>
        </w:rPr>
        <w:t>Every enterprise which is required to prepare interim financial statements (quarterly financial statements and semiannual financial statements) may decide whether to follow Decision No.</w:t>
      </w:r>
      <w:hyperlink r:id="rId9" w:tgtFrame="_blank" w:history="1">
        <w:r w:rsidRPr="00C20682">
          <w:rPr>
            <w:rFonts w:ascii="Arial" w:eastAsia="Times New Roman" w:hAnsi="Arial" w:cs="Arial"/>
            <w:color w:val="660099"/>
            <w:sz w:val="15"/>
            <w:lang w:eastAsia="vi-VN"/>
          </w:rPr>
          <w:t>15/2006/QĐ-BTC</w:t>
        </w:r>
      </w:hyperlink>
      <w:r w:rsidRPr="00C20682">
        <w:rPr>
          <w:rFonts w:ascii="Arial" w:eastAsia="Times New Roman" w:hAnsi="Arial" w:cs="Arial"/>
          <w:color w:val="333333"/>
          <w:sz w:val="15"/>
          <w:szCs w:val="15"/>
          <w:lang w:eastAsia="vi-VN"/>
        </w:rPr>
        <w:t> dated March 20, 2006 of the Minister of Finance on issuance of accounting policies for enterprises or this Circular to prepare interim financial statements of 2015. The annual financial statement of 2015 must comply with regulations of this Circular.</w:t>
      </w:r>
    </w:p>
    <w:p w:rsidR="00C20682" w:rsidRPr="00C20682" w:rsidRDefault="00C20682" w:rsidP="00C20682">
      <w:pPr>
        <w:shd w:val="clear" w:color="auto" w:fill="FFFFFF"/>
        <w:spacing w:after="107" w:line="215" w:lineRule="atLeast"/>
        <w:rPr>
          <w:rFonts w:ascii="Arial" w:eastAsia="Times New Roman" w:hAnsi="Arial" w:cs="Arial"/>
          <w:color w:val="333333"/>
          <w:sz w:val="15"/>
          <w:szCs w:val="15"/>
          <w:lang w:eastAsia="vi-VN"/>
        </w:rPr>
      </w:pPr>
      <w:r w:rsidRPr="00C20682">
        <w:rPr>
          <w:rFonts w:ascii="Arial" w:eastAsia="Times New Roman" w:hAnsi="Arial" w:cs="Arial"/>
          <w:color w:val="333333"/>
          <w:sz w:val="15"/>
          <w:szCs w:val="15"/>
          <w:lang w:eastAsia="vi-VN"/>
        </w:rPr>
        <w:t>This Circular replaces Decision No. 15/2006 / QD-BTC dated March 20, 2006 of the Minister of Finance and Circular No. 244/2009 / TT-BTC dated December 31, 2009 of the Ministry of Finance on issuance of accounting policies for enterprises and Circular No. </w:t>
      </w:r>
      <w:hyperlink r:id="rId10" w:history="1">
        <w:r w:rsidRPr="00C20682">
          <w:rPr>
            <w:rFonts w:ascii="Arial" w:eastAsia="Times New Roman" w:hAnsi="Arial" w:cs="Arial"/>
            <w:color w:val="660099"/>
            <w:sz w:val="15"/>
            <w:lang w:eastAsia="vi-VN"/>
          </w:rPr>
          <w:t>244/2009/TT-BTC</w:t>
        </w:r>
      </w:hyperlink>
      <w:r w:rsidRPr="00C20682">
        <w:rPr>
          <w:rFonts w:ascii="Arial" w:eastAsia="Times New Roman" w:hAnsi="Arial" w:cs="Arial"/>
          <w:color w:val="333333"/>
          <w:sz w:val="15"/>
          <w:szCs w:val="15"/>
          <w:lang w:eastAsia="vi-VN"/>
        </w:rPr>
        <w:t> dated December 31, 2009 of the Ministry of Finance on amendments to accounting policies for enterprises. Contents of Circulars on guidelines for the Vietnamese Accounting Standards that are not contrary to this Circular are still valid. Any regulations which are contrary to this Circular shall be annulled.</w:t>
      </w:r>
    </w:p>
    <w:p w:rsidR="00C20682" w:rsidRPr="00C20682" w:rsidRDefault="00C20682" w:rsidP="00C20682">
      <w:pPr>
        <w:shd w:val="clear" w:color="auto" w:fill="FFFFFF"/>
        <w:spacing w:after="107" w:line="215" w:lineRule="atLeast"/>
        <w:rPr>
          <w:rFonts w:ascii="Arial" w:eastAsia="Times New Roman" w:hAnsi="Arial" w:cs="Arial"/>
          <w:color w:val="333333"/>
          <w:sz w:val="15"/>
          <w:szCs w:val="15"/>
          <w:lang w:eastAsia="vi-VN"/>
        </w:rPr>
      </w:pPr>
      <w:r w:rsidRPr="00C20682">
        <w:rPr>
          <w:rFonts w:ascii="Arial" w:eastAsia="Times New Roman" w:hAnsi="Arial" w:cs="Arial"/>
          <w:color w:val="333333"/>
          <w:sz w:val="15"/>
          <w:szCs w:val="15"/>
          <w:lang w:eastAsia="vi-VN"/>
        </w:rPr>
        <w:t>Before the Accounting Standard for financial instruments and guiding documents on the implementation of Accounting Standards of financial instruments are issued, accounting units are recommended (but not required) to present and describe financial instruments as prescribed in Circular No. 210/2009 / TT-BTC dated November 06, 2009 of the Ministry of Finance on guidelines for application of International Accounting Standards for presentation of financial statements and description of financial instruments”.</w:t>
      </w:r>
    </w:p>
    <w:p w:rsidR="00C20682" w:rsidRPr="00C20682" w:rsidRDefault="00C20682" w:rsidP="00C20682">
      <w:pPr>
        <w:shd w:val="clear" w:color="auto" w:fill="FFFFFF"/>
        <w:spacing w:after="107" w:line="215" w:lineRule="atLeast"/>
        <w:rPr>
          <w:rFonts w:ascii="Arial" w:eastAsia="Times New Roman" w:hAnsi="Arial" w:cs="Arial"/>
          <w:color w:val="333333"/>
          <w:sz w:val="15"/>
          <w:szCs w:val="15"/>
          <w:lang w:eastAsia="vi-VN"/>
        </w:rPr>
      </w:pPr>
      <w:r w:rsidRPr="00C20682">
        <w:rPr>
          <w:rFonts w:ascii="Arial" w:eastAsia="Times New Roman" w:hAnsi="Arial" w:cs="Arial"/>
          <w:b/>
          <w:bCs/>
          <w:color w:val="333333"/>
          <w:sz w:val="15"/>
          <w:lang w:eastAsia="vi-VN"/>
        </w:rPr>
        <w:t>Article 2. Effect</w:t>
      </w:r>
    </w:p>
    <w:p w:rsidR="00C20682" w:rsidRPr="00C20682" w:rsidRDefault="00C20682" w:rsidP="00C20682">
      <w:pPr>
        <w:shd w:val="clear" w:color="auto" w:fill="FFFFFF"/>
        <w:spacing w:after="107" w:line="215" w:lineRule="atLeast"/>
        <w:rPr>
          <w:rFonts w:ascii="Arial" w:eastAsia="Times New Roman" w:hAnsi="Arial" w:cs="Arial"/>
          <w:color w:val="333333"/>
          <w:sz w:val="15"/>
          <w:szCs w:val="15"/>
          <w:lang w:eastAsia="vi-VN"/>
        </w:rPr>
      </w:pPr>
      <w:r w:rsidRPr="00C20682">
        <w:rPr>
          <w:rFonts w:ascii="Arial" w:eastAsia="Times New Roman" w:hAnsi="Arial" w:cs="Arial"/>
          <w:color w:val="333333"/>
          <w:sz w:val="15"/>
          <w:szCs w:val="15"/>
          <w:lang w:eastAsia="vi-VN"/>
        </w:rPr>
        <w:t>This Circular comes into force from July 14, 2015.</w:t>
      </w:r>
    </w:p>
    <w:p w:rsidR="00C20682" w:rsidRPr="00C20682" w:rsidRDefault="00C20682" w:rsidP="00C20682">
      <w:pPr>
        <w:shd w:val="clear" w:color="auto" w:fill="FFFFFF"/>
        <w:spacing w:after="107" w:line="215" w:lineRule="atLeast"/>
        <w:rPr>
          <w:rFonts w:ascii="Arial" w:eastAsia="Times New Roman" w:hAnsi="Arial" w:cs="Arial"/>
          <w:color w:val="333333"/>
          <w:sz w:val="15"/>
          <w:szCs w:val="15"/>
          <w:lang w:eastAsia="vi-VN"/>
        </w:rPr>
      </w:pPr>
      <w:r w:rsidRPr="00C20682">
        <w:rPr>
          <w:rFonts w:ascii="Arial" w:eastAsia="Times New Roman" w:hAnsi="Arial" w:cs="Arial"/>
          <w:color w:val="333333"/>
          <w:sz w:val="15"/>
          <w:szCs w:val="15"/>
          <w:lang w:eastAsia="vi-VN"/>
        </w:rPr>
        <w:t> </w:t>
      </w:r>
    </w:p>
    <w:tbl>
      <w:tblPr>
        <w:tblW w:w="0" w:type="auto"/>
        <w:jc w:val="center"/>
        <w:shd w:val="clear" w:color="auto" w:fill="FFFFFF"/>
        <w:tblCellMar>
          <w:left w:w="0" w:type="dxa"/>
          <w:right w:w="0" w:type="dxa"/>
        </w:tblCellMar>
        <w:tblLook w:val="04A0" w:firstRow="1" w:lastRow="0" w:firstColumn="1" w:lastColumn="0" w:noHBand="0" w:noVBand="1"/>
      </w:tblPr>
      <w:tblGrid>
        <w:gridCol w:w="3664"/>
        <w:gridCol w:w="2687"/>
      </w:tblGrid>
      <w:tr w:rsidR="00C20682" w:rsidRPr="00C20682" w:rsidTr="00C20682">
        <w:trPr>
          <w:jc w:val="center"/>
        </w:trPr>
        <w:tc>
          <w:tcPr>
            <w:tcW w:w="3664" w:type="dxa"/>
            <w:shd w:val="clear" w:color="auto" w:fill="FFFFFF"/>
            <w:vAlign w:val="center"/>
            <w:hideMark/>
          </w:tcPr>
          <w:p w:rsidR="00C20682" w:rsidRPr="00C20682" w:rsidRDefault="00C20682" w:rsidP="00C20682">
            <w:pPr>
              <w:spacing w:after="107" w:line="215" w:lineRule="atLeast"/>
              <w:rPr>
                <w:rFonts w:ascii="Arial" w:eastAsia="Times New Roman" w:hAnsi="Arial" w:cs="Arial"/>
                <w:color w:val="333333"/>
                <w:sz w:val="15"/>
                <w:szCs w:val="15"/>
                <w:lang w:eastAsia="vi-VN"/>
              </w:rPr>
            </w:pPr>
            <w:r w:rsidRPr="00C20682">
              <w:rPr>
                <w:rFonts w:ascii="Arial" w:eastAsia="Times New Roman" w:hAnsi="Arial" w:cs="Arial"/>
                <w:color w:val="333333"/>
                <w:sz w:val="15"/>
                <w:szCs w:val="15"/>
                <w:lang w:eastAsia="vi-VN"/>
              </w:rPr>
              <w:t> </w:t>
            </w:r>
          </w:p>
        </w:tc>
        <w:tc>
          <w:tcPr>
            <w:tcW w:w="2687" w:type="dxa"/>
            <w:shd w:val="clear" w:color="auto" w:fill="FFFFFF"/>
            <w:vAlign w:val="center"/>
            <w:hideMark/>
          </w:tcPr>
          <w:p w:rsidR="00C20682" w:rsidRPr="00C20682" w:rsidRDefault="00C20682" w:rsidP="00C20682">
            <w:pPr>
              <w:spacing w:after="107" w:line="215" w:lineRule="atLeast"/>
              <w:jc w:val="center"/>
              <w:rPr>
                <w:rFonts w:ascii="Arial" w:eastAsia="Times New Roman" w:hAnsi="Arial" w:cs="Arial"/>
                <w:color w:val="333333"/>
                <w:sz w:val="15"/>
                <w:szCs w:val="15"/>
                <w:lang w:eastAsia="vi-VN"/>
              </w:rPr>
            </w:pPr>
            <w:r w:rsidRPr="00C20682">
              <w:rPr>
                <w:rFonts w:ascii="Arial" w:eastAsia="Times New Roman" w:hAnsi="Arial" w:cs="Arial"/>
                <w:b/>
                <w:bCs/>
                <w:color w:val="333333"/>
                <w:sz w:val="15"/>
                <w:lang w:eastAsia="vi-VN"/>
              </w:rPr>
              <w:t>PP. MINISTER</w:t>
            </w:r>
            <w:r w:rsidRPr="00C20682">
              <w:rPr>
                <w:rFonts w:ascii="Arial" w:eastAsia="Times New Roman" w:hAnsi="Arial" w:cs="Arial"/>
                <w:color w:val="333333"/>
                <w:sz w:val="15"/>
                <w:szCs w:val="15"/>
                <w:lang w:eastAsia="vi-VN"/>
              </w:rPr>
              <w:t> </w:t>
            </w:r>
            <w:r w:rsidRPr="00C20682">
              <w:rPr>
                <w:rFonts w:ascii="Arial" w:eastAsia="Times New Roman" w:hAnsi="Arial" w:cs="Arial"/>
                <w:color w:val="333333"/>
                <w:sz w:val="15"/>
                <w:szCs w:val="15"/>
                <w:lang w:eastAsia="vi-VN"/>
              </w:rPr>
              <w:br/>
            </w:r>
            <w:r w:rsidRPr="00C20682">
              <w:rPr>
                <w:rFonts w:ascii="Arial" w:eastAsia="Times New Roman" w:hAnsi="Arial" w:cs="Arial"/>
                <w:b/>
                <w:bCs/>
                <w:color w:val="333333"/>
                <w:sz w:val="15"/>
                <w:lang w:eastAsia="vi-VN"/>
              </w:rPr>
              <w:t>DEPUTY MINISTER</w:t>
            </w:r>
            <w:r w:rsidRPr="00C20682">
              <w:rPr>
                <w:rFonts w:ascii="Arial" w:eastAsia="Times New Roman" w:hAnsi="Arial" w:cs="Arial"/>
                <w:color w:val="333333"/>
                <w:sz w:val="15"/>
                <w:szCs w:val="15"/>
                <w:lang w:eastAsia="vi-VN"/>
              </w:rPr>
              <w:t> </w:t>
            </w:r>
            <w:r w:rsidRPr="00C20682">
              <w:rPr>
                <w:rFonts w:ascii="Arial" w:eastAsia="Times New Roman" w:hAnsi="Arial" w:cs="Arial"/>
                <w:color w:val="333333"/>
                <w:sz w:val="15"/>
                <w:szCs w:val="15"/>
                <w:lang w:eastAsia="vi-VN"/>
              </w:rPr>
              <w:br/>
            </w:r>
            <w:r w:rsidRPr="00C20682">
              <w:rPr>
                <w:rFonts w:ascii="Arial" w:eastAsia="Times New Roman" w:hAnsi="Arial" w:cs="Arial"/>
                <w:color w:val="333333"/>
                <w:sz w:val="15"/>
                <w:szCs w:val="15"/>
                <w:lang w:eastAsia="vi-VN"/>
              </w:rPr>
              <w:br/>
            </w:r>
            <w:r w:rsidRPr="00C20682">
              <w:rPr>
                <w:rFonts w:ascii="Arial" w:eastAsia="Times New Roman" w:hAnsi="Arial" w:cs="Arial"/>
                <w:color w:val="333333"/>
                <w:sz w:val="15"/>
                <w:szCs w:val="15"/>
                <w:lang w:eastAsia="vi-VN"/>
              </w:rPr>
              <w:br/>
            </w:r>
            <w:r w:rsidRPr="00C20682">
              <w:rPr>
                <w:rFonts w:ascii="Arial" w:eastAsia="Times New Roman" w:hAnsi="Arial" w:cs="Arial"/>
                <w:color w:val="333333"/>
                <w:sz w:val="15"/>
                <w:szCs w:val="15"/>
                <w:lang w:eastAsia="vi-VN"/>
              </w:rPr>
              <w:br/>
            </w:r>
            <w:r w:rsidRPr="00C20682">
              <w:rPr>
                <w:rFonts w:ascii="Arial" w:eastAsia="Times New Roman" w:hAnsi="Arial" w:cs="Arial"/>
                <w:color w:val="333333"/>
                <w:sz w:val="15"/>
                <w:szCs w:val="15"/>
                <w:lang w:eastAsia="vi-VN"/>
              </w:rPr>
              <w:br/>
            </w:r>
            <w:r w:rsidRPr="00C20682">
              <w:rPr>
                <w:rFonts w:ascii="Arial" w:eastAsia="Times New Roman" w:hAnsi="Arial" w:cs="Arial"/>
                <w:b/>
                <w:bCs/>
                <w:color w:val="333333"/>
                <w:sz w:val="15"/>
                <w:lang w:eastAsia="vi-VN"/>
              </w:rPr>
              <w:t>Tran Xuan Ha</w:t>
            </w:r>
          </w:p>
          <w:p w:rsidR="00C20682" w:rsidRPr="00C20682" w:rsidRDefault="00C20682" w:rsidP="00C20682">
            <w:pPr>
              <w:spacing w:after="0" w:line="215" w:lineRule="atLeast"/>
              <w:rPr>
                <w:rFonts w:ascii="Arial" w:eastAsia="Times New Roman" w:hAnsi="Arial" w:cs="Arial"/>
                <w:color w:val="333333"/>
                <w:sz w:val="15"/>
                <w:szCs w:val="15"/>
                <w:lang w:eastAsia="vi-VN"/>
              </w:rPr>
            </w:pPr>
            <w:r w:rsidRPr="00C20682">
              <w:rPr>
                <w:rFonts w:ascii="Arial" w:eastAsia="Times New Roman" w:hAnsi="Arial" w:cs="Arial"/>
                <w:color w:val="333333"/>
                <w:sz w:val="15"/>
                <w:szCs w:val="15"/>
                <w:lang w:eastAsia="vi-VN"/>
              </w:rPr>
              <w:t> </w:t>
            </w:r>
          </w:p>
        </w:tc>
      </w:tr>
    </w:tbl>
    <w:p w:rsidR="00460EE6" w:rsidRDefault="00CA3AEB"/>
    <w:sectPr w:rsidR="00460EE6" w:rsidSect="00BE4F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682"/>
    <w:rsid w:val="003914E2"/>
    <w:rsid w:val="008824A2"/>
    <w:rsid w:val="00BE4FF7"/>
    <w:rsid w:val="00C20682"/>
    <w:rsid w:val="00CA3AE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1E8AF5-1168-4934-B239-AAA5151E2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F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0682"/>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C20682"/>
    <w:rPr>
      <w:b/>
      <w:bCs/>
    </w:rPr>
  </w:style>
  <w:style w:type="character" w:styleId="Emphasis">
    <w:name w:val="Emphasis"/>
    <w:basedOn w:val="DefaultParagraphFont"/>
    <w:uiPriority w:val="20"/>
    <w:qFormat/>
    <w:rsid w:val="00C20682"/>
    <w:rPr>
      <w:i/>
      <w:iCs/>
    </w:rPr>
  </w:style>
  <w:style w:type="character" w:styleId="Hyperlink">
    <w:name w:val="Hyperlink"/>
    <w:basedOn w:val="DefaultParagraphFont"/>
    <w:uiPriority w:val="99"/>
    <w:semiHidden/>
    <w:unhideWhenUsed/>
    <w:rsid w:val="00C206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058215">
      <w:bodyDiv w:val="1"/>
      <w:marLeft w:val="0"/>
      <w:marRight w:val="0"/>
      <w:marTop w:val="0"/>
      <w:marBottom w:val="0"/>
      <w:divBdr>
        <w:top w:val="none" w:sz="0" w:space="0" w:color="auto"/>
        <w:left w:val="none" w:sz="0" w:space="0" w:color="auto"/>
        <w:bottom w:val="none" w:sz="0" w:space="0" w:color="auto"/>
        <w:right w:val="none" w:sz="0" w:space="0" w:color="auto"/>
      </w:divBdr>
      <w:divsChild>
        <w:div w:id="606888177">
          <w:marLeft w:val="0"/>
          <w:marRight w:val="0"/>
          <w:marTop w:val="0"/>
          <w:marBottom w:val="0"/>
          <w:divBdr>
            <w:top w:val="none" w:sz="0" w:space="0" w:color="auto"/>
            <w:left w:val="none" w:sz="0" w:space="0" w:color="auto"/>
            <w:bottom w:val="none" w:sz="0" w:space="0" w:color="auto"/>
            <w:right w:val="none" w:sz="0" w:space="0" w:color="auto"/>
          </w:divBdr>
        </w:div>
        <w:div w:id="651059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200/2014/TT-BTC&amp;area=2&amp;type=0&amp;match=False&amp;vc=True&amp;lan=0" TargetMode="External"/><Relationship Id="rId3" Type="http://schemas.openxmlformats.org/officeDocument/2006/relationships/webSettings" Target="webSettings.xml"/><Relationship Id="rId7" Type="http://schemas.openxmlformats.org/officeDocument/2006/relationships/hyperlink" Target="http://thuvienphapluat.vn/phap-luat/tim-van-ban.aspx?keyword=200/2014/TT-BTC&amp;area=2&amp;type=0&amp;match=False&amp;vc=True&amp;lan=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uvienphapluat.vn/phap-luat/tim-van-ban.aspx?keyword=215/2013/N%C4%90-CP&amp;area=2&amp;type=0&amp;match=False&amp;vc=True&amp;lan=0" TargetMode="External"/><Relationship Id="rId11" Type="http://schemas.openxmlformats.org/officeDocument/2006/relationships/fontTable" Target="fontTable.xml"/><Relationship Id="rId5" Type="http://schemas.openxmlformats.org/officeDocument/2006/relationships/hyperlink" Target="http://thuvienphapluat.vn/phap-luat/tim-van-ban.aspx?keyword=129/2004/N%C4%90-CP&amp;area=2&amp;type=0&amp;match=False&amp;vc=True&amp;lan=0" TargetMode="External"/><Relationship Id="rId10" Type="http://schemas.openxmlformats.org/officeDocument/2006/relationships/hyperlink" Target="http://dncustoms.gov.vn/van-ban/244-2009-tt-btc-35643.html" TargetMode="External"/><Relationship Id="rId4" Type="http://schemas.openxmlformats.org/officeDocument/2006/relationships/hyperlink" Target="http://thuvienphapluat.vn/phap-luat/tim-van-ban.aspx?keyword=200/2014/TT-BTC&amp;area=2&amp;type=0&amp;match=False&amp;vc=True&amp;lan=0" TargetMode="External"/><Relationship Id="rId9" Type="http://schemas.openxmlformats.org/officeDocument/2006/relationships/hyperlink" Target="http://thuvienphapluat.vn/phap-luat/tim-van-ban.aspx?keyword=15/2006/Q%C4%90-BTC&amp;area=2&amp;type=0&amp;match=False&amp;vc=True&amp;la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Admin</cp:lastModifiedBy>
  <cp:revision>2</cp:revision>
  <dcterms:created xsi:type="dcterms:W3CDTF">2016-06-10T07:24:00Z</dcterms:created>
  <dcterms:modified xsi:type="dcterms:W3CDTF">2016-06-10T07:24:00Z</dcterms:modified>
</cp:coreProperties>
</file>