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D3" w:rsidRPr="00792ED3" w:rsidRDefault="00792ED3" w:rsidP="00792ED3">
      <w:pPr>
        <w:shd w:val="clear" w:color="auto" w:fill="FFFFFF"/>
        <w:spacing w:after="0" w:line="215" w:lineRule="atLeast"/>
        <w:rPr>
          <w:rFonts w:ascii="RobotoBold" w:eastAsia="Times New Roman" w:hAnsi="RobotoBold" w:cs="Times New Roman"/>
          <w:caps/>
          <w:color w:val="337AB7"/>
          <w:sz w:val="15"/>
          <w:szCs w:val="15"/>
          <w:lang w:eastAsia="vi-VN"/>
        </w:rPr>
      </w:pPr>
      <w:bookmarkStart w:id="0" w:name="_GoBack"/>
      <w:bookmarkEnd w:id="0"/>
      <w:r w:rsidRPr="00792ED3">
        <w:rPr>
          <w:rFonts w:ascii="RobotoBold" w:eastAsia="Times New Roman" w:hAnsi="RobotoBold" w:cs="Times New Roman"/>
          <w:caps/>
          <w:color w:val="337AB7"/>
          <w:sz w:val="15"/>
          <w:szCs w:val="15"/>
          <w:lang w:eastAsia="vi-VN"/>
        </w:rPr>
        <w:t>ISSUANCE OF LICENSES FOR AUTOMATIC IMPORT OF SOME STEEL PRODUCTS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96"/>
        <w:gridCol w:w="3944"/>
      </w:tblGrid>
      <w:tr w:rsidR="00792ED3" w:rsidRPr="00792ED3" w:rsidTr="00792ED3">
        <w:trPr>
          <w:jc w:val="center"/>
        </w:trPr>
        <w:tc>
          <w:tcPr>
            <w:tcW w:w="23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MINISTRY OF INDUSTRY AND TRADE</w:t>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lang w:eastAsia="vi-VN"/>
              </w:rPr>
              <w:t>-------</w:t>
            </w:r>
          </w:p>
        </w:tc>
        <w:tc>
          <w:tcPr>
            <w:tcW w:w="3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SOCIALIST REPUBLIC OF VIETNAM</w:t>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lang w:eastAsia="vi-VN"/>
              </w:rPr>
              <w:t>Independence - Freedom - Happiness</w:t>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lang w:eastAsia="vi-VN"/>
              </w:rPr>
              <w:t>---------------</w:t>
            </w:r>
          </w:p>
        </w:tc>
      </w:tr>
      <w:tr w:rsidR="00792ED3" w:rsidRPr="00792ED3" w:rsidTr="00792ED3">
        <w:trPr>
          <w:jc w:val="center"/>
        </w:trPr>
        <w:tc>
          <w:tcPr>
            <w:tcW w:w="23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No. 12/2015/TT-BCT</w:t>
            </w:r>
          </w:p>
        </w:tc>
        <w:tc>
          <w:tcPr>
            <w:tcW w:w="39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righ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Hanoi, June 12, 2015</w:t>
            </w:r>
          </w:p>
        </w:tc>
      </w:tr>
    </w:tbl>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CIRCULAR</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ISSUANCE OF LICENSES FOR AUTOMATIC IMPORT OF SOME STEEL PRODUCTS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Pursuant to the Government's Decree No. 95/2012/NĐ-CP dated November 12, 2012, defining the functions, tasks, powers and organizational structure of the Ministry of Industry and Trade;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Pursuant to the Government's Decree No. 187/2013/NĐ-CP dated November 20, 2013 elaborating some Articles on international trading, agent activities, trading, processing, and transit of goods with foreign parties of the Law on Commerce;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Pursuant to the Prime Minister’s Decision No. 41/2005/QĐ-TTg dated March 02, 2005 on issuance of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At the request of the Director of Export and Import Administration;</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i/>
          <w:iCs/>
          <w:color w:val="333333"/>
          <w:sz w:val="15"/>
          <w:lang w:eastAsia="vi-VN"/>
        </w:rPr>
        <w:t>The Minister of Industry and Trade issues a Circular on issuance of licenses for automatic import of some steel products.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Chapter I</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GENERAL PROVISIONS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 Scope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This Circular deals with issuance of licenses for automatic import of some steel products (specified in Appendix 01 enclosed herewith).</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Imported steel products in the following cases are not regulated by this Circular:</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 Goods temporarily imported for re-export, goods temporarily exported for re-import, transited goods;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b) Non-trading imports;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2. Regulated entities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This Circular applies to regulatory bodies, importers of steel products, and relevant entities.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Chapter II</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ISSUANCE AND SUBMISSION OF AUTOMATIC IMPORT LICENSES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3. License for automatic import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Automatic import licenses are issued by the Ministry of Industry and Trade to traders by certifying applications for import of each shipment.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Each automatic import license is effective for 30 days from the day on which it is certified by the Ministry of Industry and Trade.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4. Licensing authority</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Export and Import Administration is the licensing authority.</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Addresses: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 Export and Import Administration – the Ministry of Industry and Trade: No. 24 Hai Ba Trung street, Hoan Kiem district, Hanoi.</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b. Representative office of Export and Import Administration in Ho Chi Minh City: 2</w:t>
      </w:r>
      <w:r w:rsidRPr="00792ED3">
        <w:rPr>
          <w:rFonts w:ascii="Arial" w:eastAsia="Times New Roman" w:hAnsi="Arial" w:cs="Arial"/>
          <w:color w:val="333333"/>
          <w:sz w:val="11"/>
          <w:szCs w:val="11"/>
          <w:vertAlign w:val="superscript"/>
          <w:lang w:eastAsia="vi-VN"/>
        </w:rPr>
        <w:t>nd</w:t>
      </w:r>
      <w:r w:rsidRPr="00792ED3">
        <w:rPr>
          <w:rFonts w:ascii="Arial" w:eastAsia="Times New Roman" w:hAnsi="Arial" w:cs="Arial"/>
          <w:color w:val="333333"/>
          <w:sz w:val="15"/>
          <w:lang w:eastAsia="vi-VN"/>
        </w:rPr>
        <w:t> </w:t>
      </w:r>
      <w:r w:rsidRPr="00792ED3">
        <w:rPr>
          <w:rFonts w:ascii="Arial" w:eastAsia="Times New Roman" w:hAnsi="Arial" w:cs="Arial"/>
          <w:color w:val="333333"/>
          <w:sz w:val="15"/>
          <w:szCs w:val="15"/>
          <w:lang w:eastAsia="vi-VN"/>
        </w:rPr>
        <w:t>floor, No. 12 Vo Van Kiet street, Nguyen Thai Binh ward, District 1, Ho Chi Minh City.</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5. Responsibility of applicants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Applicant for automatic import license has the responsibility to:</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Register the trader’s profile with the licensing authority as prescribed in Article 7.</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Submit the application for the automatic import license to the licensing authority as prescribed in Article 8 to the address mentioned in Clause 2 of Article 4 (by post). The date of receipt is the date on the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Take legal responsibility for the accuracy and truthfulness of information provided in the application for the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6. Responsibility of the licensing authority</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The licensing authority has the responsibility to:</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Instruct applicants at their request.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2. Receive, check trader’s profiles and applications for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Issue automatic import licenses on schedule as prescribed in Article 9 and Article 10.</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7. Registration of trader’s profile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The applicant for the automatic import license must register the trader’s profile with the licensing authority when applying for the first automatic import license. The issuance of automatic import license is only considered after the trader’s profile is registered. The trader’s profile consists of:</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 A registration of signature of the person competent to or authorized to sigh the application for automatic import license and the trader’s seal (Appendix No. 02);</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b) Certificate of Business Registration or Certificate of Business registration or certificate of investment: 01 certified true copy bearing the trader’s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All changes in the trader’s profile must be notified to the licensing authority in writing.</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8. Application for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An application for automatic import license consists of:</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 02 copies of the application form (Appendix No. 03 enclosed herewith);</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b) Import contract or equivalent documents: 01 certified true copy bearing the trader’s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c) Commercial invoice: 01 certified true copy bearing the trader’s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d) Letter of credit or payment document or certification of bank transfer (enclosed with the request for certification of bank transfer: 01 certified true copy bearing the trader’s seal (Appendix 04A and 04B);</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dd) Bill of lading or transport documents of the shipment: 01 certified true copy bearing the trader’s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Number of application: 01 set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If goods are imported through a road checkpoint or from a free trade zone, the trader is not required to submit the bill of lading or transport document. Instead, the trader must submit an import report according to the previous import application that was certified (using the form provided in Appendix 05).</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9. Issuance of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The automatic import license is issued within 07 working days from the day on which the licensing authority receives the satisfactory application as prescribed in Article 8.</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If the trader submits the application online as prescribed in Article 11, the automatic import license shall be issued within 05 working days from the day on which the licensing authority receives the satisfactory application as prescribed in Article 8.</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The automatic import license shall be sent by post to the address written on the application form.</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10. Reissuance, adjustment, and revocation of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If the automatic import license is lost or damaged, the trader shall submit an explanation together with the application. The Ministry of Industry and Trade shall consider reissuing the automatic import license if the issued license is unexpired. If the issued license has expired, the trader shall request the Ministry of Industry and Trade in writing to annul the lost or damaged one and submit an application for issuance of a new automatic import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The automatic import license shall be reissued within 05 working days from the day on which the licensing authority receives the satisfactory application.</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If the automatic import license which has been certified by the Ministry of Industry and Trade needs adjusting, the trader shall submit a written explanation, request for adjustment, relevant documents, and the application that contain adjusted into to the Ministry of Industry and Trade, and return the certified license (original license);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The adjusted license shall be issued within 05 working days from the day on which the licensing authority receives the satisfactory documents.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In case the Ministry of Industry and Trade finds that an automatic import license is issued improperly, it will be revoked and relevant agencies will be informed.</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11. Registering for automatic import license online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Traders may register for automatic import licenses online according to the procedures below before submitting documents: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In case of application for the first automatic import license, the trader must provide information about the trader’s profile over the Internet using the software system provided by the Ministry of Industry and Trade and send the trader’s profile to the licensing authority’s address. The trader’s profile consists of:</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a) A registration of signature of the person competent to or authorized to sigh the application for automatic import license and the trader’s seal (Appendix No. 02);</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b) Certificate of Business Registration or Certificate of Business registration or certificate of investment: 01 certified true copy bearing the trader’s seal.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After an account is provided, the trader will provide information about the application for registration automatic import using the software system provided by the Ministry of Industry and Trade. Issuance of automatic import license will be displayed online.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The Ministry of Industry and Trade shall verify information using the online interface and notify the trader of the result within 01 day over the Internet.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 After receiving the notification from the Ministry of Industry and Trade procedures the information provided online is satisfactory, the trader shall submit the application to the licensing agencies as prescribed in Article 8.</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 The trader must have a computer which is connected to the Internet and peripherals prescribed by the Ministry of Industry and Trade before registering for automatic import license online.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12. Submission of automatic import license while following customs procedures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While following import procedures, the trader must submit the automatic import license, which is certified by the Ministry of Industry and Trade, and import documents to the customs authority and comply with current regulations on checkpoint of clearance, policies on imported goods, goods subject to supervision by specialized bodies, and goods subject to conditions.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13. Import of steel products serving production and processing</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Importers of steel products serving production and/or processing (including those imported for assembly, repair, whether or not under warranty) may choose between: (i) registering for the automatic import license as prescribed in Article 5 and Article 12; present a written commitment certified by the provincial Department of Industry and Trade where the enterprise is registered together with other import documents to the customs authority while following import procedures, and do not apply for the automatic import license as prescribed in Article 5 and Article 12.</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Contents of the commitment: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 Certificate of Business Registration or Certificate of Business registration or certificate of investment.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 Production lines, equipment suitable for manufacture, processing of imported materials.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 Imported steel products may only be used for production and/or processing, not for sale. The import quantity must be suitable for the capacity of the production lines over a certain period of time as declared by the enterprise.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 Production and processing do not include simple works such as bending, cutting, grinding, rolling, or other simple processing works.</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The commitment shall be verified within 05 working days from the day on which the request for verification is received by the Department of Industry and Trade If necessary, the Department of Industry and Trade shall carry out a site inspection to make sure the trader's commitment is truthful.</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The commitment is valid for 06 months from the day on which it is verified by the Department of Industry and Trade.</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Chapter III</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IMPLEMENTATION</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14. Effect</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This Circular comes into force from July 26, 2015.</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Article 15. Responsibility for implementation</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Difficulties that arise during the implementation of this Circular should be reported to the Ministry of Industry and Trade for consideration./.</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0"/>
        <w:gridCol w:w="3170"/>
      </w:tblGrid>
      <w:tr w:rsidR="00792ED3" w:rsidRPr="00792ED3" w:rsidTr="00792ED3">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3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PP MINISTER</w:t>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lang w:eastAsia="vi-VN"/>
              </w:rPr>
              <w:t>DEPUTY MINISTER</w:t>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szCs w:val="15"/>
                <w:lang w:eastAsia="vi-VN"/>
              </w:rPr>
              <w:br/>
            </w:r>
            <w:r w:rsidRPr="00792ED3">
              <w:rPr>
                <w:rFonts w:ascii="Arial" w:eastAsia="Times New Roman" w:hAnsi="Arial" w:cs="Arial"/>
                <w:b/>
                <w:bCs/>
                <w:color w:val="333333"/>
                <w:sz w:val="15"/>
                <w:lang w:eastAsia="vi-VN"/>
              </w:rPr>
              <w:t>Tran Tuan Anh</w:t>
            </w:r>
          </w:p>
        </w:tc>
      </w:tr>
    </w:tbl>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APPENDIX 01</w:t>
      </w:r>
    </w:p>
    <w:p w:rsidR="00792ED3" w:rsidRPr="00792ED3" w:rsidRDefault="00792ED3" w:rsidP="00792ED3">
      <w:pPr>
        <w:shd w:val="clear" w:color="auto" w:fill="FFFFFF"/>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LIST OF STEEL PRODUCTS ELIGIBLE FOR ISSUANCE OF AUTOMATIC IMPORT LICENSES</w:t>
      </w:r>
      <w:r w:rsidRPr="00792ED3">
        <w:rPr>
          <w:rFonts w:ascii="Arial" w:eastAsia="Times New Roman" w:hAnsi="Arial" w:cs="Arial"/>
          <w:color w:val="333333"/>
          <w:sz w:val="15"/>
          <w:szCs w:val="15"/>
          <w:lang w:eastAsia="vi-VN"/>
        </w:rPr>
        <w:br/>
        <w:t>(enclosed with Circular No.</w:t>
      </w:r>
      <w:r w:rsidRPr="00792ED3">
        <w:rPr>
          <w:rFonts w:ascii="Arial" w:eastAsia="Times New Roman" w:hAnsi="Arial" w:cs="Arial"/>
          <w:color w:val="333333"/>
          <w:sz w:val="15"/>
          <w:lang w:eastAsia="vi-VN"/>
        </w:rPr>
        <w:t> </w:t>
      </w:r>
      <w:r w:rsidRPr="00792ED3">
        <w:rPr>
          <w:rFonts w:ascii="Arial" w:eastAsia="Times New Roman" w:hAnsi="Arial" w:cs="Arial"/>
          <w:i/>
          <w:iCs/>
          <w:color w:val="333333"/>
          <w:sz w:val="15"/>
          <w:lang w:eastAsia="vi-VN"/>
        </w:rPr>
        <w:t>12/2015/TT-BCT dated June 12, 2015 on issuance of automatic import licenses on some steel products)</w:t>
      </w:r>
    </w:p>
    <w:tbl>
      <w:tblPr>
        <w:tblW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9"/>
        <w:gridCol w:w="182"/>
        <w:gridCol w:w="182"/>
        <w:gridCol w:w="8329"/>
      </w:tblGrid>
      <w:tr w:rsidR="00792ED3" w:rsidRPr="00792ED3" w:rsidTr="00792ED3">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Code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Description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Chapter 72 - Iron and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lastRenderedPageBreak/>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Semi-finished products of iron or non-alloy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Containing by weight less than 0.25%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rectangular (including square) cross-section, the width measuring less than twice the thickness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 of rectangular (other than square)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Slabs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Containing by weight 0.25% or more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Slabs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Blocks roughly shaped by forging; sheet 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Slabs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Blocks roughly shaped by forging; sheet 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iron or non-alloy steel, of a width of 600 mm or more, cold-rolled (cold-reduced), not clad, plated or coated.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In coils, not further worked than cold-rolled (cold-reduced):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3 mm or more: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exceeding 1 mm but less than 3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0.5 mm or more but not exceeding 1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less than 0.5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Containing by weight less than 0.6% of carbon and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In coils, not further worked than cold-rolled (cold-reduced):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3 mm or more: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exceeding 1 mm but less than 3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0.5 mm or more but not exceeding 1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of less than 0.5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less than 0.6% of carbon and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Corrugated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iron or non-alloy steel, of a width of 600 mm or more, clad, plated or coated.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Plated or coated with tin: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0.5 mm or more: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0.6 % or more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less than 0.5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0.6 % or more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Otherwise plated or coated with zinc:</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Corrugated: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exceeding 1.2 mm but not exceeding 1.5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Coated with zinc by the iron-zinc alloyed coating method, containing by weight less than 0.04% of carbon and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 of a thickness of 1.2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exceeding 1.2 mm but not exceeding 1.5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Plated or coated with aluminium-zinc alloys: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 of a thickness of 1.2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exceeding 1.2 mm but not exceeding 1.5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exceeding 1.2 mm but not exceeding 1.5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thickness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iron or non-alloy steel, of a width of less than 600 mm, not clad, plated or coated.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Not further worked than hot-rolled: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Rolled on four faces or in a closed box pass, of a width exceeding 150 mm and a thickness of not less than 4 mm, not in coils and without patterns in relief:</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Hoop and strip, of a width exceeding 150 mm but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 of a thickness of 4.75 mm or more: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of 4.75 mm or more but not exceeding 10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Corrugated,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exceeding 10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Corrugated,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of 2 mm or more but less than 4.75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Corrugated,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thickness of less than 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Corrugated, containing by weight less than 0.6%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Not further worked than cold-rolled (cold-reduced):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Containing by weight less than 0.25%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Corrugated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Corrugated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 of a thickness of 0.17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iron or non-alloy steel, of a width of less than 600 mm, clad, plated or coated.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Otherwise plated or coated with zinc:</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7212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 containing by weight less than 0.6% of carbon and of a thickness of 1.5 mm or less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Bars and rods, hot-rolled, in irregularly wound coils, of iron or non-alloy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 measuring less than 14 mm in diameter: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Other bars and rods of iron or non-alloy steel, not further worked than forged, hot-rolled, hot-drawn or hot-extructed, but including those twisted after rolling.</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Containing indentations, ribs, grooves or other deformations produced during the rolling process or twisted after rolling:</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Other bars and rods of iron or non-alloy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not further worked than cold-formed or cold-finished: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kind used for concrete reinforcement (rebars)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stainless steel, of a width of 600 mm or more.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1 mm or more but less than 3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0.5 mm or more but not exceeding 1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a thickness of less than 0.5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Flat-rolled products of stainless steel, of a width of less than 600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Not further worked than hot-rolled: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Hoop and strip, of a width not exceeding 400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Other alloy steel in ingots or other primary forms; semi-finished products of other 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Ingots and other primary forms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Bars and rods, hot-rolled, in irregularly wound coils, of other 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Of high speed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Of silico-manganese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Other bars and rods of other alloy steel; angles, shapes and sections, of other alloy steel; hollow drill bars and rods, of alloy or non-alloy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Bars and rods, of high speed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Bars and rods, of silico-manganese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Not further worked than hot-rolled, hot-drawn or extruded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Not further worked than hot-rolled, hot-drawn or extruded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bars and rods, not further worked than hot-rolled, hot-drawn or extruded: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bars and rods, not further worked than forged: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bars and rods, not further worked than cold-formed or cold-finished: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bars and rods: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Angles, shapes and sections: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Not further worked than hot-rolled, hot-drawn or extruded</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Hollow drill bars and rods: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Containing by weight 0.6% or more of carbon: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Of circular cross-section</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Wire of other 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Of silico-manganese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Of high speed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7229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Chapter 73 - Articles of iron or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b/>
                <w:bCs/>
                <w:color w:val="333333"/>
                <w:sz w:val="15"/>
                <w:lang w:eastAsia="vi-VN"/>
              </w:rPr>
              <w:t>Other tubes, pipes and hollow profiles (for example, open seam or welded, riveted or similarly closed), of iron or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 welded, of circular cross-section, of iron or non-alloy steel:</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Boiler tubes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Copper-plated, fluororesin-coated or zinc-chromated steel tubes with an external diameter not exceeding 15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Pipe of a kind used to make sheath pipe (heater pipe) for heating elements of electric flat irons or rice cookers, with an external diameter not exceeding 12 mm</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High-pressure pipe</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Other</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Copper brazed pipes and tubes</w:t>
            </w:r>
          </w:p>
        </w:tc>
      </w:tr>
      <w:tr w:rsidR="00792ED3" w:rsidRPr="00792ED3" w:rsidTr="00792ED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7306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jc w:val="center"/>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792ED3" w:rsidRPr="00792ED3" w:rsidRDefault="00792ED3" w:rsidP="00792ED3">
            <w:pPr>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 Other</w:t>
            </w:r>
          </w:p>
        </w:tc>
      </w:tr>
    </w:tbl>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t> </w:t>
      </w:r>
    </w:p>
    <w:p w:rsidR="00792ED3" w:rsidRPr="00792ED3" w:rsidRDefault="00792ED3" w:rsidP="00792ED3">
      <w:pPr>
        <w:shd w:val="clear" w:color="auto" w:fill="FFFFFF"/>
        <w:spacing w:after="107" w:line="215" w:lineRule="atLeast"/>
        <w:rPr>
          <w:rFonts w:ascii="Arial" w:eastAsia="Times New Roman" w:hAnsi="Arial" w:cs="Arial"/>
          <w:color w:val="333333"/>
          <w:sz w:val="15"/>
          <w:szCs w:val="15"/>
          <w:lang w:eastAsia="vi-VN"/>
        </w:rPr>
      </w:pPr>
      <w:r w:rsidRPr="00792ED3">
        <w:rPr>
          <w:rFonts w:ascii="Arial" w:eastAsia="Times New Roman" w:hAnsi="Arial" w:cs="Arial"/>
          <w:color w:val="333333"/>
          <w:sz w:val="15"/>
          <w:szCs w:val="15"/>
          <w:lang w:eastAsia="vi-VN"/>
        </w:rPr>
        <w:lastRenderedPageBreak/>
        <w:t> </w:t>
      </w:r>
    </w:p>
    <w:p w:rsidR="00460EE6" w:rsidRDefault="00082106"/>
    <w:sectPr w:rsidR="00460EE6" w:rsidSect="00BE4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Roboto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ED3"/>
    <w:rsid w:val="00082106"/>
    <w:rsid w:val="003914E2"/>
    <w:rsid w:val="00792ED3"/>
    <w:rsid w:val="008824A2"/>
    <w:rsid w:val="00BE4FF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22A36-EE29-4FC2-93FC-04DE3387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F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ED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92ED3"/>
    <w:rPr>
      <w:b/>
      <w:bCs/>
    </w:rPr>
  </w:style>
  <w:style w:type="character" w:styleId="Emphasis">
    <w:name w:val="Emphasis"/>
    <w:basedOn w:val="DefaultParagraphFont"/>
    <w:uiPriority w:val="20"/>
    <w:qFormat/>
    <w:rsid w:val="00792ED3"/>
    <w:rPr>
      <w:i/>
      <w:iCs/>
    </w:rPr>
  </w:style>
  <w:style w:type="character" w:customStyle="1" w:styleId="apple-converted-space">
    <w:name w:val="apple-converted-space"/>
    <w:basedOn w:val="DefaultParagraphFont"/>
    <w:rsid w:val="0079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0007">
      <w:bodyDiv w:val="1"/>
      <w:marLeft w:val="0"/>
      <w:marRight w:val="0"/>
      <w:marTop w:val="0"/>
      <w:marBottom w:val="0"/>
      <w:divBdr>
        <w:top w:val="none" w:sz="0" w:space="0" w:color="auto"/>
        <w:left w:val="none" w:sz="0" w:space="0" w:color="auto"/>
        <w:bottom w:val="none" w:sz="0" w:space="0" w:color="auto"/>
        <w:right w:val="none" w:sz="0" w:space="0" w:color="auto"/>
      </w:divBdr>
      <w:divsChild>
        <w:div w:id="600799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Admin</cp:lastModifiedBy>
  <cp:revision>2</cp:revision>
  <dcterms:created xsi:type="dcterms:W3CDTF">2016-06-10T06:54:00Z</dcterms:created>
  <dcterms:modified xsi:type="dcterms:W3CDTF">2016-06-10T06:54:00Z</dcterms:modified>
</cp:coreProperties>
</file>